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D357" w14:textId="77777777" w:rsidR="00C56D94" w:rsidRPr="007576E7" w:rsidRDefault="00C56D94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E7">
        <w:rPr>
          <w:rFonts w:ascii="Times New Roman" w:hAnsi="Times New Roman" w:cs="Times New Roman"/>
          <w:b/>
          <w:bCs/>
          <w:sz w:val="28"/>
          <w:szCs w:val="28"/>
        </w:rPr>
        <w:t>Merchandise trade</w:t>
      </w:r>
    </w:p>
    <w:p w14:paraId="67D26F51" w14:textId="1D9D49C2" w:rsidR="00C56D94" w:rsidRPr="007304D9" w:rsidRDefault="00C56D94" w:rsidP="00FF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Imports</w:t>
      </w:r>
    </w:p>
    <w:p w14:paraId="5FD5ADF6" w14:textId="53E9B416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Guyana’s value of imports of goods </w:t>
      </w:r>
      <w:r>
        <w:rPr>
          <w:rFonts w:ascii="Times New Roman" w:hAnsi="Times New Roman" w:cs="Times New Roman"/>
          <w:sz w:val="28"/>
          <w:szCs w:val="28"/>
        </w:rPr>
        <w:t xml:space="preserve">traded </w:t>
      </w:r>
      <w:r w:rsidRPr="007576E7">
        <w:rPr>
          <w:rFonts w:ascii="Times New Roman" w:hAnsi="Times New Roman" w:cs="Times New Roman"/>
          <w:sz w:val="28"/>
          <w:szCs w:val="28"/>
        </w:rPr>
        <w:t>totaled USD</w:t>
      </w:r>
      <w:r w:rsidR="00B314CE">
        <w:rPr>
          <w:rFonts w:ascii="Times New Roman" w:hAnsi="Times New Roman" w:cs="Times New Roman"/>
          <w:sz w:val="28"/>
          <w:szCs w:val="28"/>
        </w:rPr>
        <w:t>1,64</w:t>
      </w:r>
      <w:r w:rsidR="00134A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A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 </w:t>
      </w:r>
      <w:r>
        <w:rPr>
          <w:rFonts w:ascii="Times New Roman" w:hAnsi="Times New Roman" w:cs="Times New Roman"/>
          <w:sz w:val="28"/>
          <w:szCs w:val="28"/>
        </w:rPr>
        <w:t xml:space="preserve">at the end of the </w:t>
      </w:r>
      <w:bookmarkStart w:id="0" w:name="_Hlk200450945"/>
      <w:r>
        <w:rPr>
          <w:rFonts w:ascii="Times New Roman" w:hAnsi="Times New Roman" w:cs="Times New Roman"/>
          <w:sz w:val="28"/>
          <w:szCs w:val="28"/>
        </w:rPr>
        <w:t xml:space="preserve">first quarter of </w:t>
      </w:r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 w:rsidR="000745BF">
        <w:rPr>
          <w:rFonts w:ascii="Times New Roman" w:hAnsi="Times New Roman" w:cs="Times New Roman"/>
          <w:sz w:val="28"/>
          <w:szCs w:val="28"/>
        </w:rPr>
        <w:t>5</w:t>
      </w:r>
      <w:r w:rsidR="002D14A8">
        <w:rPr>
          <w:rStyle w:val="EndnoteReference"/>
          <w:rFonts w:ascii="Times New Roman" w:hAnsi="Times New Roman" w:cs="Times New Roman"/>
          <w:sz w:val="28"/>
          <w:szCs w:val="28"/>
        </w:rPr>
        <w:endnoteReference w:id="1"/>
      </w:r>
      <w:r w:rsidRPr="007576E7">
        <w:rPr>
          <w:rFonts w:ascii="Times New Roman" w:hAnsi="Times New Roman" w:cs="Times New Roman"/>
          <w:sz w:val="28"/>
          <w:szCs w:val="28"/>
        </w:rPr>
        <w:t>, representing a</w:t>
      </w:r>
      <w:r w:rsidR="00B314C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A50">
        <w:rPr>
          <w:rFonts w:ascii="Times New Roman" w:hAnsi="Times New Roman" w:cs="Times New Roman"/>
          <w:sz w:val="28"/>
          <w:szCs w:val="28"/>
        </w:rPr>
        <w:t>2</w:t>
      </w:r>
      <w:r w:rsidRPr="007576E7">
        <w:rPr>
          <w:rFonts w:ascii="Times New Roman" w:hAnsi="Times New Roman" w:cs="Times New Roman"/>
          <w:sz w:val="28"/>
          <w:szCs w:val="28"/>
        </w:rPr>
        <w:t xml:space="preserve"> percent </w:t>
      </w:r>
      <w:r>
        <w:rPr>
          <w:rFonts w:ascii="Times New Roman" w:hAnsi="Times New Roman" w:cs="Times New Roman"/>
          <w:sz w:val="28"/>
          <w:szCs w:val="28"/>
        </w:rPr>
        <w:t>increase</w:t>
      </w:r>
      <w:r w:rsidRPr="007576E7">
        <w:rPr>
          <w:rFonts w:ascii="Times New Roman" w:hAnsi="Times New Roman" w:cs="Times New Roman"/>
          <w:sz w:val="28"/>
          <w:szCs w:val="28"/>
        </w:rPr>
        <w:t xml:space="preserve"> when compared to </w:t>
      </w:r>
      <w:bookmarkStart w:id="1" w:name="_Hlk200451094"/>
      <w:r>
        <w:rPr>
          <w:rFonts w:ascii="Times New Roman" w:hAnsi="Times New Roman" w:cs="Times New Roman"/>
          <w:sz w:val="28"/>
          <w:szCs w:val="28"/>
        </w:rPr>
        <w:t xml:space="preserve">the same period in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 w:rsidR="00B314CE">
        <w:rPr>
          <w:rFonts w:ascii="Times New Roman" w:hAnsi="Times New Roman" w:cs="Times New Roman"/>
          <w:sz w:val="28"/>
          <w:szCs w:val="28"/>
        </w:rPr>
        <w:t>4</w:t>
      </w:r>
      <w:bookmarkEnd w:id="1"/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  <w:r w:rsidR="003B2F5A">
        <w:rPr>
          <w:rFonts w:ascii="Times New Roman" w:hAnsi="Times New Roman" w:cs="Times New Roman"/>
          <w:sz w:val="28"/>
          <w:szCs w:val="28"/>
        </w:rPr>
        <w:t>The leading imports during this period were f</w:t>
      </w:r>
      <w:r>
        <w:rPr>
          <w:rFonts w:ascii="Times New Roman" w:hAnsi="Times New Roman" w:cs="Times New Roman"/>
          <w:sz w:val="28"/>
          <w:szCs w:val="28"/>
        </w:rPr>
        <w:t xml:space="preserve">uel and lubricants, </w:t>
      </w:r>
      <w:r w:rsidR="00B314CE" w:rsidRPr="00B314CE">
        <w:rPr>
          <w:rFonts w:ascii="Times New Roman" w:hAnsi="Times New Roman" w:cs="Times New Roman"/>
          <w:sz w:val="28"/>
          <w:szCs w:val="28"/>
        </w:rPr>
        <w:t>Articles</w:t>
      </w:r>
      <w:r w:rsidR="003252BC">
        <w:rPr>
          <w:rFonts w:ascii="Times New Roman" w:hAnsi="Times New Roman" w:cs="Times New Roman"/>
          <w:sz w:val="28"/>
          <w:szCs w:val="28"/>
        </w:rPr>
        <w:t xml:space="preserve"> </w:t>
      </w:r>
      <w:r w:rsidR="00B314CE" w:rsidRPr="00B314CE">
        <w:rPr>
          <w:rFonts w:ascii="Times New Roman" w:hAnsi="Times New Roman" w:cs="Times New Roman"/>
          <w:sz w:val="28"/>
          <w:szCs w:val="28"/>
        </w:rPr>
        <w:t>of Iron &amp; Steel</w:t>
      </w:r>
      <w:r w:rsidR="00B314CE">
        <w:rPr>
          <w:rFonts w:ascii="Times New Roman" w:hAnsi="Times New Roman" w:cs="Times New Roman"/>
          <w:sz w:val="28"/>
          <w:szCs w:val="28"/>
        </w:rPr>
        <w:t xml:space="preserve">, and </w:t>
      </w:r>
      <w:r w:rsidR="00602167">
        <w:rPr>
          <w:rFonts w:ascii="Times New Roman" w:hAnsi="Times New Roman" w:cs="Times New Roman"/>
          <w:sz w:val="28"/>
          <w:szCs w:val="28"/>
        </w:rPr>
        <w:t xml:space="preserve">contractors’ </w:t>
      </w:r>
      <w:r w:rsidR="002D14A8">
        <w:rPr>
          <w:rFonts w:ascii="Times New Roman" w:hAnsi="Times New Roman" w:cs="Times New Roman"/>
          <w:sz w:val="28"/>
          <w:szCs w:val="28"/>
        </w:rPr>
        <w:t>machinery</w:t>
      </w:r>
      <w:r w:rsidR="00B314CE">
        <w:rPr>
          <w:rFonts w:ascii="Times New Roman" w:hAnsi="Times New Roman" w:cs="Times New Roman"/>
          <w:sz w:val="28"/>
          <w:szCs w:val="28"/>
        </w:rPr>
        <w:t>.</w:t>
      </w:r>
      <w:r w:rsidR="003B2F5A">
        <w:rPr>
          <w:rFonts w:ascii="Times New Roman" w:hAnsi="Times New Roman" w:cs="Times New Roman"/>
          <w:sz w:val="28"/>
          <w:szCs w:val="28"/>
        </w:rPr>
        <w:t xml:space="preserve"> They contributed USD2</w:t>
      </w:r>
      <w:r w:rsidR="003D0DFF">
        <w:rPr>
          <w:rFonts w:ascii="Times New Roman" w:hAnsi="Times New Roman" w:cs="Times New Roman"/>
          <w:sz w:val="28"/>
          <w:szCs w:val="28"/>
        </w:rPr>
        <w:t>93</w:t>
      </w:r>
      <w:r w:rsidR="003B2F5A">
        <w:rPr>
          <w:rFonts w:ascii="Times New Roman" w:hAnsi="Times New Roman" w:cs="Times New Roman"/>
          <w:sz w:val="28"/>
          <w:szCs w:val="28"/>
        </w:rPr>
        <w:t>.</w:t>
      </w:r>
      <w:r w:rsidR="003D0DFF">
        <w:rPr>
          <w:rFonts w:ascii="Times New Roman" w:hAnsi="Times New Roman" w:cs="Times New Roman"/>
          <w:sz w:val="28"/>
          <w:szCs w:val="28"/>
        </w:rPr>
        <w:t>2</w:t>
      </w:r>
      <w:r w:rsidR="003B2F5A">
        <w:rPr>
          <w:rFonts w:ascii="Times New Roman" w:hAnsi="Times New Roman" w:cs="Times New Roman"/>
          <w:sz w:val="28"/>
          <w:szCs w:val="28"/>
        </w:rPr>
        <w:t xml:space="preserve"> million</w:t>
      </w:r>
      <w:r w:rsidR="00602167">
        <w:rPr>
          <w:rFonts w:ascii="Times New Roman" w:hAnsi="Times New Roman" w:cs="Times New Roman"/>
          <w:sz w:val="28"/>
          <w:szCs w:val="28"/>
        </w:rPr>
        <w:t>, USD</w:t>
      </w:r>
      <w:r w:rsidR="003D0DFF">
        <w:rPr>
          <w:rFonts w:ascii="Times New Roman" w:hAnsi="Times New Roman" w:cs="Times New Roman"/>
          <w:sz w:val="28"/>
          <w:szCs w:val="28"/>
        </w:rPr>
        <w:t>166</w:t>
      </w:r>
      <w:r w:rsidR="00602167">
        <w:rPr>
          <w:rFonts w:ascii="Times New Roman" w:hAnsi="Times New Roman" w:cs="Times New Roman"/>
          <w:sz w:val="28"/>
          <w:szCs w:val="28"/>
        </w:rPr>
        <w:t>.</w:t>
      </w:r>
      <w:r w:rsidR="003D0DFF">
        <w:rPr>
          <w:rFonts w:ascii="Times New Roman" w:hAnsi="Times New Roman" w:cs="Times New Roman"/>
          <w:sz w:val="28"/>
          <w:szCs w:val="28"/>
        </w:rPr>
        <w:t>8</w:t>
      </w:r>
      <w:r w:rsidR="00602167">
        <w:rPr>
          <w:rFonts w:ascii="Times New Roman" w:hAnsi="Times New Roman" w:cs="Times New Roman"/>
          <w:sz w:val="28"/>
          <w:szCs w:val="28"/>
        </w:rPr>
        <w:t xml:space="preserve"> million and USD</w:t>
      </w:r>
      <w:r w:rsidR="003D0DFF">
        <w:rPr>
          <w:rFonts w:ascii="Times New Roman" w:hAnsi="Times New Roman" w:cs="Times New Roman"/>
          <w:sz w:val="28"/>
          <w:szCs w:val="28"/>
        </w:rPr>
        <w:t>82.5</w:t>
      </w:r>
      <w:r w:rsidR="00602167">
        <w:rPr>
          <w:rFonts w:ascii="Times New Roman" w:hAnsi="Times New Roman" w:cs="Times New Roman"/>
          <w:sz w:val="28"/>
          <w:szCs w:val="28"/>
        </w:rPr>
        <w:t xml:space="preserve"> million respectively to total imports.</w:t>
      </w:r>
    </w:p>
    <w:p w14:paraId="237F966D" w14:textId="77777777" w:rsidR="00C56D94" w:rsidRPr="007576E7" w:rsidRDefault="00C56D94" w:rsidP="00C56D94">
      <w:pPr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AA830" w14:textId="77777777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Domestic Exports</w:t>
      </w:r>
    </w:p>
    <w:p w14:paraId="43D33C6A" w14:textId="618F84E4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Domestic exports </w:t>
      </w:r>
      <w:bookmarkStart w:id="2" w:name="_Hlk200451175"/>
      <w:r w:rsidRPr="007576E7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the first quarter of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 w:rsidR="003D0DFF">
        <w:rPr>
          <w:rFonts w:ascii="Times New Roman" w:hAnsi="Times New Roman" w:cs="Times New Roman"/>
          <w:sz w:val="28"/>
          <w:szCs w:val="28"/>
        </w:rPr>
        <w:t xml:space="preserve">5 </w:t>
      </w:r>
      <w:bookmarkEnd w:id="2"/>
      <w:r w:rsidRPr="007576E7">
        <w:rPr>
          <w:rFonts w:ascii="Times New Roman" w:hAnsi="Times New Roman" w:cs="Times New Roman"/>
          <w:sz w:val="28"/>
          <w:szCs w:val="28"/>
        </w:rPr>
        <w:t xml:space="preserve">totaled </w:t>
      </w:r>
      <w:bookmarkStart w:id="3" w:name="_Hlk136328949"/>
      <w:r w:rsidRPr="007576E7">
        <w:rPr>
          <w:rFonts w:ascii="Times New Roman" w:hAnsi="Times New Roman" w:cs="Times New Roman"/>
          <w:sz w:val="28"/>
          <w:szCs w:val="28"/>
        </w:rPr>
        <w:t>USD</w:t>
      </w:r>
      <w:bookmarkEnd w:id="3"/>
      <w:r w:rsidR="005B44BD">
        <w:rPr>
          <w:rFonts w:ascii="Times New Roman" w:hAnsi="Times New Roman" w:cs="Times New Roman"/>
          <w:sz w:val="28"/>
          <w:szCs w:val="28"/>
        </w:rPr>
        <w:t>4</w:t>
      </w:r>
      <w:r w:rsidR="00CC4531" w:rsidRPr="00CC4531">
        <w:rPr>
          <w:rFonts w:ascii="Times New Roman" w:hAnsi="Times New Roman" w:cs="Times New Roman"/>
          <w:sz w:val="28"/>
          <w:szCs w:val="28"/>
        </w:rPr>
        <w:t>,</w:t>
      </w:r>
      <w:r w:rsidR="005B44BD">
        <w:rPr>
          <w:rFonts w:ascii="Times New Roman" w:hAnsi="Times New Roman" w:cs="Times New Roman"/>
          <w:sz w:val="28"/>
          <w:szCs w:val="28"/>
        </w:rPr>
        <w:t>637.2</w:t>
      </w:r>
      <w:r w:rsidR="00CC4531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million, representing a </w:t>
      </w:r>
      <w:r w:rsidR="00FC64A7">
        <w:rPr>
          <w:rFonts w:ascii="Times New Roman" w:hAnsi="Times New Roman" w:cs="Times New Roman"/>
          <w:sz w:val="28"/>
          <w:szCs w:val="28"/>
        </w:rPr>
        <w:t>4</w:t>
      </w:r>
      <w:r w:rsidR="00CC4531">
        <w:rPr>
          <w:rFonts w:ascii="Times New Roman" w:hAnsi="Times New Roman" w:cs="Times New Roman"/>
          <w:sz w:val="28"/>
          <w:szCs w:val="28"/>
        </w:rPr>
        <w:t>.</w:t>
      </w:r>
      <w:r w:rsidR="005B44BD">
        <w:rPr>
          <w:rFonts w:ascii="Times New Roman" w:hAnsi="Times New Roman" w:cs="Times New Roman"/>
          <w:sz w:val="28"/>
          <w:szCs w:val="28"/>
        </w:rPr>
        <w:t>0</w:t>
      </w:r>
      <w:r w:rsidRPr="007576E7">
        <w:rPr>
          <w:rFonts w:ascii="Times New Roman" w:hAnsi="Times New Roman" w:cs="Times New Roman"/>
          <w:sz w:val="28"/>
          <w:szCs w:val="28"/>
        </w:rPr>
        <w:t xml:space="preserve"> percent </w:t>
      </w:r>
      <w:r w:rsidR="005B44BD">
        <w:rPr>
          <w:rFonts w:ascii="Times New Roman" w:hAnsi="Times New Roman" w:cs="Times New Roman"/>
          <w:sz w:val="28"/>
          <w:szCs w:val="28"/>
        </w:rPr>
        <w:t>decrease</w:t>
      </w: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200451281"/>
      <w:r w:rsidRPr="007576E7">
        <w:rPr>
          <w:rFonts w:ascii="Times New Roman" w:hAnsi="Times New Roman" w:cs="Times New Roman"/>
          <w:sz w:val="28"/>
          <w:szCs w:val="28"/>
        </w:rPr>
        <w:t xml:space="preserve">over </w:t>
      </w:r>
      <w:r>
        <w:rPr>
          <w:rFonts w:ascii="Times New Roman" w:hAnsi="Times New Roman" w:cs="Times New Roman"/>
          <w:sz w:val="28"/>
          <w:szCs w:val="28"/>
        </w:rPr>
        <w:t xml:space="preserve">the corresponding period in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 w:rsidR="005B44BD">
        <w:rPr>
          <w:rFonts w:ascii="Times New Roman" w:hAnsi="Times New Roman" w:cs="Times New Roman"/>
          <w:sz w:val="28"/>
          <w:szCs w:val="28"/>
        </w:rPr>
        <w:t>4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76E7">
        <w:rPr>
          <w:rFonts w:ascii="Times New Roman" w:hAnsi="Times New Roman" w:cs="Times New Roman"/>
          <w:sz w:val="28"/>
          <w:szCs w:val="28"/>
        </w:rPr>
        <w:t xml:space="preserve">Exports of crude oil amounted to </w:t>
      </w:r>
      <w:r w:rsidRPr="00964EE6">
        <w:rPr>
          <w:rFonts w:ascii="Times New Roman" w:hAnsi="Times New Roman" w:cs="Times New Roman"/>
          <w:sz w:val="28"/>
          <w:szCs w:val="28"/>
        </w:rPr>
        <w:t>USD</w:t>
      </w:r>
      <w:r w:rsidR="005B44BD">
        <w:rPr>
          <w:rFonts w:ascii="Times New Roman" w:hAnsi="Times New Roman" w:cs="Times New Roman"/>
          <w:sz w:val="28"/>
          <w:szCs w:val="28"/>
        </w:rPr>
        <w:t xml:space="preserve">4,242.0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 which represented </w:t>
      </w:r>
      <w:r w:rsidR="005B44BD">
        <w:rPr>
          <w:rFonts w:ascii="Times New Roman" w:hAnsi="Times New Roman" w:cs="Times New Roman"/>
          <w:sz w:val="28"/>
          <w:szCs w:val="28"/>
        </w:rPr>
        <w:t>90</w:t>
      </w:r>
      <w:r w:rsidR="005D6FAD" w:rsidRPr="005D6FAD">
        <w:rPr>
          <w:rFonts w:ascii="Times New Roman" w:hAnsi="Times New Roman" w:cs="Times New Roman"/>
          <w:sz w:val="28"/>
          <w:szCs w:val="28"/>
        </w:rPr>
        <w:t>.</w:t>
      </w:r>
      <w:r w:rsidR="005B44BD">
        <w:rPr>
          <w:rFonts w:ascii="Times New Roman" w:hAnsi="Times New Roman" w:cs="Times New Roman"/>
          <w:sz w:val="28"/>
          <w:szCs w:val="28"/>
        </w:rPr>
        <w:t>9</w:t>
      </w:r>
      <w:r w:rsidR="005D6FAD" w:rsidRPr="005D6FAD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percent of total exports </w:t>
      </w:r>
      <w:bookmarkStart w:id="5" w:name="_Hlk200451422"/>
      <w:r w:rsidRPr="007576E7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 xml:space="preserve">QTR 1,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 w:rsidR="005B44BD">
        <w:rPr>
          <w:rFonts w:ascii="Times New Roman" w:hAnsi="Times New Roman" w:cs="Times New Roman"/>
          <w:sz w:val="28"/>
          <w:szCs w:val="28"/>
        </w:rPr>
        <w:t>5</w:t>
      </w:r>
      <w:bookmarkEnd w:id="5"/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Gold exported totaled</w:t>
      </w:r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F02E95" w:rsidRPr="00F02E95">
        <w:rPr>
          <w:rFonts w:ascii="Times New Roman" w:hAnsi="Times New Roman" w:cs="Times New Roman"/>
          <w:sz w:val="28"/>
          <w:szCs w:val="28"/>
        </w:rPr>
        <w:t>2</w:t>
      </w:r>
      <w:r w:rsidR="007325D7">
        <w:rPr>
          <w:rFonts w:ascii="Times New Roman" w:hAnsi="Times New Roman" w:cs="Times New Roman"/>
          <w:sz w:val="28"/>
          <w:szCs w:val="28"/>
        </w:rPr>
        <w:t>65</w:t>
      </w:r>
      <w:r w:rsidR="00F02E95" w:rsidRPr="00F02E95">
        <w:rPr>
          <w:rFonts w:ascii="Times New Roman" w:hAnsi="Times New Roman" w:cs="Times New Roman"/>
          <w:sz w:val="28"/>
          <w:szCs w:val="28"/>
        </w:rPr>
        <w:t>.</w:t>
      </w:r>
      <w:r w:rsidR="007325D7">
        <w:rPr>
          <w:rFonts w:ascii="Times New Roman" w:hAnsi="Times New Roman" w:cs="Times New Roman"/>
          <w:sz w:val="28"/>
          <w:szCs w:val="28"/>
        </w:rPr>
        <w:t>0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 xml:space="preserve">million, </w:t>
      </w:r>
      <w:r w:rsidR="00377F8F" w:rsidRPr="007576E7">
        <w:rPr>
          <w:rFonts w:ascii="Times New Roman" w:hAnsi="Times New Roman" w:cs="Times New Roman"/>
          <w:sz w:val="28"/>
          <w:szCs w:val="28"/>
        </w:rPr>
        <w:t>a</w:t>
      </w:r>
      <w:r w:rsidR="00377F8F">
        <w:rPr>
          <w:rFonts w:ascii="Times New Roman" w:hAnsi="Times New Roman" w:cs="Times New Roman"/>
          <w:sz w:val="28"/>
          <w:szCs w:val="28"/>
        </w:rPr>
        <w:t xml:space="preserve"> </w:t>
      </w:r>
      <w:r w:rsidR="008676CE">
        <w:rPr>
          <w:rFonts w:ascii="Times New Roman" w:hAnsi="Times New Roman" w:cs="Times New Roman"/>
          <w:sz w:val="28"/>
          <w:szCs w:val="28"/>
        </w:rPr>
        <w:t>37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.4 </w:t>
      </w:r>
      <w:r w:rsidRPr="007576E7">
        <w:rPr>
          <w:rFonts w:ascii="Times New Roman" w:hAnsi="Times New Roman" w:cs="Times New Roman"/>
          <w:sz w:val="28"/>
          <w:szCs w:val="28"/>
        </w:rPr>
        <w:t xml:space="preserve">percent </w:t>
      </w:r>
      <w:r w:rsidRPr="00F02E95">
        <w:rPr>
          <w:rFonts w:ascii="Times New Roman" w:hAnsi="Times New Roman" w:cs="Times New Roman"/>
          <w:sz w:val="28"/>
          <w:szCs w:val="28"/>
        </w:rPr>
        <w:t>increase</w:t>
      </w:r>
      <w:r w:rsidRPr="007576E7">
        <w:rPr>
          <w:rFonts w:ascii="Times New Roman" w:hAnsi="Times New Roman" w:cs="Times New Roman"/>
          <w:sz w:val="28"/>
          <w:szCs w:val="28"/>
        </w:rPr>
        <w:t xml:space="preserve"> from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F02E95" w:rsidRPr="00F02E95">
        <w:rPr>
          <w:rFonts w:ascii="Times New Roman" w:hAnsi="Times New Roman" w:cs="Times New Roman"/>
          <w:sz w:val="28"/>
          <w:szCs w:val="28"/>
        </w:rPr>
        <w:t>1</w:t>
      </w:r>
      <w:r w:rsidR="008676CE">
        <w:rPr>
          <w:rFonts w:ascii="Times New Roman" w:hAnsi="Times New Roman" w:cs="Times New Roman"/>
          <w:sz w:val="28"/>
          <w:szCs w:val="28"/>
        </w:rPr>
        <w:t>92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.9 </w:t>
      </w:r>
      <w:bookmarkStart w:id="6" w:name="_Hlk200451529"/>
      <w:r w:rsidRPr="007576E7">
        <w:rPr>
          <w:rFonts w:ascii="Times New Roman" w:hAnsi="Times New Roman" w:cs="Times New Roman"/>
          <w:sz w:val="28"/>
          <w:szCs w:val="28"/>
        </w:rPr>
        <w:t xml:space="preserve">million </w:t>
      </w:r>
      <w:r>
        <w:rPr>
          <w:rFonts w:ascii="Times New Roman" w:hAnsi="Times New Roman" w:cs="Times New Roman"/>
          <w:sz w:val="28"/>
          <w:szCs w:val="28"/>
        </w:rPr>
        <w:t xml:space="preserve">when compared to QTR 1, </w:t>
      </w:r>
      <w:r w:rsidRPr="007576E7">
        <w:rPr>
          <w:rFonts w:ascii="Times New Roman" w:hAnsi="Times New Roman" w:cs="Times New Roman"/>
          <w:sz w:val="28"/>
          <w:szCs w:val="28"/>
        </w:rPr>
        <w:t>202</w:t>
      </w:r>
      <w:r w:rsidR="008676CE">
        <w:rPr>
          <w:rFonts w:ascii="Times New Roman" w:hAnsi="Times New Roman" w:cs="Times New Roman"/>
          <w:sz w:val="28"/>
          <w:szCs w:val="28"/>
        </w:rPr>
        <w:t>4</w:t>
      </w:r>
      <w:bookmarkEnd w:id="6"/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4E8847" w14:textId="77777777" w:rsidR="00FF78B9" w:rsidRDefault="00FF78B9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17578" w14:textId="0D38DBA2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Re-Exports</w:t>
      </w:r>
    </w:p>
    <w:p w14:paraId="2DC43098" w14:textId="33E5516F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0451704"/>
      <w:r>
        <w:rPr>
          <w:rFonts w:ascii="Times New Roman" w:hAnsi="Times New Roman" w:cs="Times New Roman"/>
          <w:sz w:val="28"/>
          <w:szCs w:val="28"/>
        </w:rPr>
        <w:t>R</w:t>
      </w:r>
      <w:r w:rsidRPr="007576E7">
        <w:rPr>
          <w:rFonts w:ascii="Times New Roman" w:hAnsi="Times New Roman" w:cs="Times New Roman"/>
          <w:sz w:val="28"/>
          <w:szCs w:val="28"/>
        </w:rPr>
        <w:t>e-exported</w:t>
      </w:r>
      <w:r>
        <w:rPr>
          <w:rFonts w:ascii="Times New Roman" w:hAnsi="Times New Roman" w:cs="Times New Roman"/>
          <w:sz w:val="28"/>
          <w:szCs w:val="28"/>
        </w:rPr>
        <w:t xml:space="preserve"> goods in QTR 1, 202</w:t>
      </w:r>
      <w:r w:rsidR="009A55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valued</w:t>
      </w:r>
      <w:bookmarkEnd w:id="7"/>
      <w:r w:rsidRPr="007576E7">
        <w:rPr>
          <w:rFonts w:ascii="Times New Roman" w:hAnsi="Times New Roman" w:cs="Times New Roman"/>
          <w:sz w:val="28"/>
          <w:szCs w:val="28"/>
        </w:rPr>
        <w:t xml:space="preserve">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9A5568">
        <w:rPr>
          <w:rFonts w:ascii="Times New Roman" w:hAnsi="Times New Roman" w:cs="Times New Roman"/>
          <w:sz w:val="28"/>
          <w:szCs w:val="28"/>
        </w:rPr>
        <w:t>27</w:t>
      </w:r>
      <w:r w:rsidR="00F02E95" w:rsidRPr="00F02E95">
        <w:rPr>
          <w:rFonts w:ascii="Times New Roman" w:hAnsi="Times New Roman" w:cs="Times New Roman"/>
          <w:sz w:val="28"/>
          <w:szCs w:val="28"/>
        </w:rPr>
        <w:t>.</w:t>
      </w:r>
      <w:r w:rsidR="009A5568">
        <w:rPr>
          <w:rFonts w:ascii="Times New Roman" w:hAnsi="Times New Roman" w:cs="Times New Roman"/>
          <w:sz w:val="28"/>
          <w:szCs w:val="28"/>
        </w:rPr>
        <w:t>3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million</w:t>
      </w:r>
      <w:r>
        <w:rPr>
          <w:rFonts w:ascii="Times New Roman" w:hAnsi="Times New Roman" w:cs="Times New Roman"/>
          <w:sz w:val="28"/>
          <w:szCs w:val="28"/>
        </w:rPr>
        <w:t xml:space="preserve"> when compared to the same period in 202</w:t>
      </w:r>
      <w:r w:rsidR="009A55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which was valued at </w:t>
      </w:r>
      <w:r w:rsidRPr="00F02E95">
        <w:rPr>
          <w:rFonts w:ascii="Times New Roman" w:hAnsi="Times New Roman" w:cs="Times New Roman"/>
          <w:sz w:val="28"/>
          <w:szCs w:val="28"/>
        </w:rPr>
        <w:t>USD</w:t>
      </w:r>
      <w:r w:rsidR="00FC64A7">
        <w:rPr>
          <w:rFonts w:ascii="Times New Roman" w:hAnsi="Times New Roman" w:cs="Times New Roman"/>
          <w:sz w:val="28"/>
          <w:szCs w:val="28"/>
        </w:rPr>
        <w:t>80</w:t>
      </w:r>
      <w:r w:rsidR="00F02E95" w:rsidRPr="00F02E95">
        <w:rPr>
          <w:rFonts w:ascii="Times New Roman" w:hAnsi="Times New Roman" w:cs="Times New Roman"/>
          <w:sz w:val="28"/>
          <w:szCs w:val="28"/>
        </w:rPr>
        <w:t>.</w:t>
      </w:r>
      <w:r w:rsidR="00FC64A7">
        <w:rPr>
          <w:rFonts w:ascii="Times New Roman" w:hAnsi="Times New Roman" w:cs="Times New Roman"/>
          <w:sz w:val="28"/>
          <w:szCs w:val="28"/>
        </w:rPr>
        <w:t>8</w:t>
      </w:r>
      <w:r w:rsidR="00F02E95" w:rsidRPr="00F0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million</w:t>
      </w:r>
      <w:r w:rsidRPr="007576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FC64A7">
        <w:rPr>
          <w:rFonts w:ascii="Times New Roman" w:hAnsi="Times New Roman" w:cs="Times New Roman"/>
          <w:sz w:val="28"/>
          <w:szCs w:val="28"/>
        </w:rPr>
        <w:t>66</w:t>
      </w:r>
      <w:r w:rsidR="00F02E95" w:rsidRPr="00F02E9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percent </w:t>
      </w:r>
      <w:r w:rsidR="00F02E95">
        <w:rPr>
          <w:rFonts w:ascii="Times New Roman" w:hAnsi="Times New Roman" w:cs="Times New Roman"/>
          <w:sz w:val="28"/>
          <w:szCs w:val="28"/>
        </w:rPr>
        <w:t>decrease</w:t>
      </w:r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89134E" w14:textId="6FB89AEB" w:rsidR="00C56D94" w:rsidRPr="007576E7" w:rsidRDefault="00C56D94" w:rsidP="00C56D94">
      <w:pPr>
        <w:jc w:val="both"/>
        <w:rPr>
          <w:rFonts w:ascii="Times New Roman" w:hAnsi="Times New Roman" w:cs="Times New Roman"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 xml:space="preserve">Overall exports (domestic plus re-exports) totaled </w:t>
      </w:r>
      <w:r w:rsidR="00CC4531" w:rsidRPr="00CC4531">
        <w:rPr>
          <w:rFonts w:ascii="Times New Roman" w:hAnsi="Times New Roman" w:cs="Times New Roman"/>
          <w:sz w:val="28"/>
          <w:szCs w:val="28"/>
        </w:rPr>
        <w:t>USD</w:t>
      </w:r>
      <w:r w:rsidR="00724FB5">
        <w:rPr>
          <w:rFonts w:ascii="Times New Roman" w:hAnsi="Times New Roman" w:cs="Times New Roman"/>
          <w:sz w:val="28"/>
          <w:szCs w:val="28"/>
        </w:rPr>
        <w:t>4</w:t>
      </w:r>
      <w:r w:rsidR="00CC4531" w:rsidRPr="00CC4531">
        <w:rPr>
          <w:rFonts w:ascii="Times New Roman" w:hAnsi="Times New Roman" w:cs="Times New Roman"/>
          <w:sz w:val="28"/>
          <w:szCs w:val="28"/>
        </w:rPr>
        <w:t>,</w:t>
      </w:r>
      <w:r w:rsidR="00724FB5">
        <w:rPr>
          <w:rFonts w:ascii="Times New Roman" w:hAnsi="Times New Roman" w:cs="Times New Roman"/>
          <w:sz w:val="28"/>
          <w:szCs w:val="28"/>
        </w:rPr>
        <w:t>664</w:t>
      </w:r>
      <w:r w:rsidR="00CC4531" w:rsidRPr="00CC4531">
        <w:rPr>
          <w:rFonts w:ascii="Times New Roman" w:hAnsi="Times New Roman" w:cs="Times New Roman"/>
          <w:sz w:val="28"/>
          <w:szCs w:val="28"/>
        </w:rPr>
        <w:t xml:space="preserve">.6 </w:t>
      </w:r>
      <w:r w:rsidRPr="007576E7">
        <w:rPr>
          <w:rFonts w:ascii="Times New Roman" w:hAnsi="Times New Roman" w:cs="Times New Roman"/>
          <w:sz w:val="28"/>
          <w:szCs w:val="28"/>
        </w:rPr>
        <w:t>million.</w:t>
      </w:r>
    </w:p>
    <w:p w14:paraId="57B67A3D" w14:textId="217B9149" w:rsidR="00C56D94" w:rsidRDefault="00C56D94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6E7">
        <w:rPr>
          <w:rFonts w:ascii="Times New Roman" w:hAnsi="Times New Roman" w:cs="Times New Roman"/>
          <w:sz w:val="28"/>
          <w:szCs w:val="28"/>
        </w:rPr>
        <w:t>Guyana recorded a surplus in its goods trade of USD</w:t>
      </w:r>
      <w:r>
        <w:rPr>
          <w:rFonts w:ascii="Times New Roman" w:hAnsi="Times New Roman" w:cs="Times New Roman"/>
          <w:sz w:val="28"/>
          <w:szCs w:val="28"/>
        </w:rPr>
        <w:t>2,</w:t>
      </w:r>
      <w:r w:rsidR="00724FB5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4FB5">
        <w:rPr>
          <w:rFonts w:ascii="Times New Roman" w:hAnsi="Times New Roman" w:cs="Times New Roman"/>
          <w:sz w:val="28"/>
          <w:szCs w:val="28"/>
        </w:rPr>
        <w:t>8</w:t>
      </w:r>
      <w:r w:rsidRPr="007576E7">
        <w:rPr>
          <w:rFonts w:ascii="Times New Roman" w:hAnsi="Times New Roman" w:cs="Times New Roman"/>
          <w:sz w:val="28"/>
          <w:szCs w:val="28"/>
        </w:rPr>
        <w:t xml:space="preserve"> million </w:t>
      </w:r>
      <w:r>
        <w:rPr>
          <w:rFonts w:ascii="Times New Roman" w:hAnsi="Times New Roman" w:cs="Times New Roman"/>
          <w:sz w:val="28"/>
          <w:szCs w:val="28"/>
        </w:rPr>
        <w:t xml:space="preserve">during the first quarter </w:t>
      </w:r>
      <w:r w:rsidRPr="007576E7">
        <w:rPr>
          <w:rFonts w:ascii="Times New Roman" w:hAnsi="Times New Roman" w:cs="Times New Roman"/>
          <w:sz w:val="28"/>
          <w:szCs w:val="28"/>
        </w:rPr>
        <w:t>in 202</w:t>
      </w:r>
      <w:r w:rsidR="00724FB5">
        <w:rPr>
          <w:rFonts w:ascii="Times New Roman" w:hAnsi="Times New Roman" w:cs="Times New Roman"/>
          <w:sz w:val="28"/>
          <w:szCs w:val="28"/>
        </w:rPr>
        <w:t>5</w:t>
      </w:r>
      <w:r w:rsidRPr="007576E7">
        <w:rPr>
          <w:rFonts w:ascii="Times New Roman" w:hAnsi="Times New Roman" w:cs="Times New Roman"/>
          <w:sz w:val="28"/>
          <w:szCs w:val="28"/>
        </w:rPr>
        <w:t>.</w:t>
      </w:r>
    </w:p>
    <w:p w14:paraId="0E7C6D60" w14:textId="77777777" w:rsidR="00C56D94" w:rsidRDefault="00C56D94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CAEFA" w14:textId="77777777" w:rsidR="00C56D94" w:rsidRPr="007576E7" w:rsidRDefault="00C56D94" w:rsidP="00C56D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 xml:space="preserve">ain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 xml:space="preserve">rading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7576E7">
        <w:rPr>
          <w:rFonts w:ascii="Times New Roman" w:hAnsi="Times New Roman" w:cs="Times New Roman"/>
          <w:b/>
          <w:bCs/>
          <w:sz w:val="28"/>
          <w:szCs w:val="28"/>
        </w:rPr>
        <w:t>artners</w:t>
      </w:r>
    </w:p>
    <w:p w14:paraId="08518204" w14:textId="77777777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Imports</w:t>
      </w:r>
    </w:p>
    <w:p w14:paraId="39F59B16" w14:textId="0791E3F4" w:rsidR="00C56D94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top three trading partners of imports </w:t>
      </w:r>
      <w:bookmarkStart w:id="8" w:name="_Hlk200452690"/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2D14A8">
        <w:rPr>
          <w:rFonts w:ascii="Times New Roman" w:hAnsi="Times New Roman" w:cs="Times New Roman"/>
          <w:sz w:val="28"/>
          <w:szCs w:val="28"/>
        </w:rPr>
        <w:t xml:space="preserve">the first quarter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D14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</w:rPr>
        <w:t>were</w:t>
      </w:r>
      <w:r w:rsidR="00134A50">
        <w:rPr>
          <w:rFonts w:ascii="Times New Roman" w:hAnsi="Times New Roman" w:cs="Times New Roman"/>
          <w:sz w:val="28"/>
          <w:szCs w:val="28"/>
        </w:rPr>
        <w:t xml:space="preserve"> the </w:t>
      </w:r>
      <w:r w:rsidR="00134A50" w:rsidRPr="00134A50">
        <w:rPr>
          <w:rFonts w:ascii="Times New Roman" w:hAnsi="Times New Roman" w:cs="Times New Roman"/>
          <w:sz w:val="28"/>
          <w:szCs w:val="28"/>
        </w:rPr>
        <w:t>United States of America,</w:t>
      </w:r>
      <w:r w:rsidR="0013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Trinidad and Tobago, </w:t>
      </w:r>
      <w:r w:rsidRPr="00D45F8F">
        <w:rPr>
          <w:rFonts w:ascii="Times New Roman" w:hAnsi="Times New Roman" w:cs="Times New Roman"/>
          <w:sz w:val="28"/>
          <w:szCs w:val="28"/>
        </w:rPr>
        <w:t>and China</w:t>
      </w:r>
      <w:r>
        <w:rPr>
          <w:rFonts w:ascii="Times New Roman" w:hAnsi="Times New Roman" w:cs="Times New Roman"/>
          <w:sz w:val="28"/>
          <w:szCs w:val="28"/>
        </w:rPr>
        <w:t>. Imports from</w:t>
      </w:r>
      <w:r w:rsidR="00134A50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A50" w:rsidRPr="00134A50">
        <w:rPr>
          <w:rFonts w:ascii="Times New Roman" w:hAnsi="Times New Roman" w:cs="Times New Roman"/>
          <w:sz w:val="28"/>
          <w:szCs w:val="28"/>
        </w:rPr>
        <w:t>United States of America totaled USD</w:t>
      </w:r>
      <w:r w:rsidR="00134A50">
        <w:rPr>
          <w:rFonts w:ascii="Times New Roman" w:hAnsi="Times New Roman" w:cs="Times New Roman"/>
          <w:sz w:val="28"/>
          <w:szCs w:val="28"/>
        </w:rPr>
        <w:t xml:space="preserve"> 378</w:t>
      </w:r>
      <w:r w:rsidR="00344B79">
        <w:rPr>
          <w:rFonts w:ascii="Times New Roman" w:hAnsi="Times New Roman" w:cs="Times New Roman"/>
          <w:sz w:val="28"/>
          <w:szCs w:val="28"/>
        </w:rPr>
        <w:t>.0</w:t>
      </w:r>
      <w:r w:rsidR="00134A50" w:rsidRPr="00134A50">
        <w:rPr>
          <w:rFonts w:ascii="Times New Roman" w:hAnsi="Times New Roman" w:cs="Times New Roman"/>
          <w:sz w:val="28"/>
          <w:szCs w:val="28"/>
        </w:rPr>
        <w:t xml:space="preserve"> million</w:t>
      </w:r>
      <w:r w:rsidR="00134A50">
        <w:rPr>
          <w:rFonts w:ascii="Times New Roman" w:hAnsi="Times New Roman" w:cs="Times New Roman"/>
          <w:sz w:val="28"/>
          <w:szCs w:val="28"/>
        </w:rPr>
        <w:t>,</w:t>
      </w:r>
      <w:r w:rsidR="00134A50" w:rsidRPr="0013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Trinidad and Tobago </w:t>
      </w:r>
      <w:r w:rsidRPr="007576E7">
        <w:rPr>
          <w:rFonts w:ascii="Times New Roman" w:hAnsi="Times New Roman" w:cs="Times New Roman"/>
          <w:sz w:val="28"/>
          <w:szCs w:val="28"/>
        </w:rPr>
        <w:t>USD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4A50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A50">
        <w:rPr>
          <w:rFonts w:ascii="Times New Roman" w:hAnsi="Times New Roman" w:cs="Times New Roman"/>
          <w:sz w:val="28"/>
          <w:szCs w:val="28"/>
        </w:rPr>
        <w:t>7</w:t>
      </w:r>
      <w:r w:rsidRPr="007576E7">
        <w:rPr>
          <w:rFonts w:ascii="Times New Roman" w:hAnsi="Times New Roman" w:cs="Times New Roman"/>
          <w:sz w:val="28"/>
          <w:szCs w:val="28"/>
        </w:rPr>
        <w:t xml:space="preserve"> million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 w:rsidRPr="007576E7">
        <w:rPr>
          <w:rFonts w:ascii="Times New Roman" w:hAnsi="Times New Roman" w:cs="Times New Roman"/>
          <w:sz w:val="28"/>
          <w:szCs w:val="28"/>
        </w:rPr>
        <w:t xml:space="preserve">China </w:t>
      </w:r>
      <w:r>
        <w:rPr>
          <w:rFonts w:ascii="Times New Roman" w:hAnsi="Times New Roman" w:cs="Times New Roman"/>
          <w:sz w:val="28"/>
          <w:szCs w:val="28"/>
        </w:rPr>
        <w:t>USD</w:t>
      </w:r>
      <w:r w:rsidR="00134A50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A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million.</w:t>
      </w:r>
    </w:p>
    <w:p w14:paraId="1E4B6759" w14:textId="77777777" w:rsidR="00C56D94" w:rsidRDefault="00C56D94" w:rsidP="00C56D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87854" w14:textId="77777777" w:rsidR="00C56D94" w:rsidRPr="007576E7" w:rsidRDefault="00C56D94" w:rsidP="00FF7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6E7">
        <w:rPr>
          <w:rFonts w:ascii="Times New Roman" w:hAnsi="Times New Roman" w:cs="Times New Roman"/>
          <w:b/>
          <w:sz w:val="28"/>
          <w:szCs w:val="28"/>
        </w:rPr>
        <w:t>Exports</w:t>
      </w:r>
    </w:p>
    <w:p w14:paraId="0E382B53" w14:textId="25A36F4A" w:rsidR="00C56D94" w:rsidRPr="0068408B" w:rsidRDefault="00C56D94" w:rsidP="00FF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200453777"/>
      <w:r w:rsidRPr="007576E7">
        <w:rPr>
          <w:rFonts w:ascii="Times New Roman" w:hAnsi="Times New Roman" w:cs="Times New Roman"/>
          <w:sz w:val="28"/>
          <w:szCs w:val="28"/>
        </w:rPr>
        <w:t xml:space="preserve">Guyana’s main </w:t>
      </w:r>
      <w:r w:rsidR="0068408B">
        <w:rPr>
          <w:rFonts w:ascii="Times New Roman" w:hAnsi="Times New Roman" w:cs="Times New Roman"/>
          <w:sz w:val="28"/>
          <w:szCs w:val="28"/>
        </w:rPr>
        <w:t xml:space="preserve">domestic </w:t>
      </w:r>
      <w:r w:rsidRPr="007576E7">
        <w:rPr>
          <w:rFonts w:ascii="Times New Roman" w:hAnsi="Times New Roman" w:cs="Times New Roman"/>
          <w:sz w:val="28"/>
          <w:szCs w:val="28"/>
        </w:rPr>
        <w:t xml:space="preserve">export partners during </w:t>
      </w:r>
      <w:r>
        <w:rPr>
          <w:rFonts w:ascii="Times New Roman" w:hAnsi="Times New Roman" w:cs="Times New Roman"/>
          <w:sz w:val="28"/>
          <w:szCs w:val="28"/>
        </w:rPr>
        <w:t xml:space="preserve">QTR 1, </w:t>
      </w:r>
      <w:r w:rsidRPr="007576E7">
        <w:rPr>
          <w:rFonts w:ascii="Times New Roman" w:hAnsi="Times New Roman" w:cs="Times New Roman"/>
          <w:sz w:val="28"/>
          <w:szCs w:val="28"/>
        </w:rPr>
        <w:t>20</w:t>
      </w:r>
      <w:bookmarkEnd w:id="9"/>
      <w:r w:rsidRPr="007576E7">
        <w:rPr>
          <w:rFonts w:ascii="Times New Roman" w:hAnsi="Times New Roman" w:cs="Times New Roman"/>
          <w:sz w:val="28"/>
          <w:szCs w:val="28"/>
        </w:rPr>
        <w:t>2</w:t>
      </w:r>
      <w:r w:rsidR="00BD1454">
        <w:rPr>
          <w:rFonts w:ascii="Times New Roman" w:hAnsi="Times New Roman" w:cs="Times New Roman"/>
          <w:sz w:val="28"/>
          <w:szCs w:val="28"/>
        </w:rPr>
        <w:t>5</w:t>
      </w:r>
      <w:r w:rsidRPr="007576E7">
        <w:rPr>
          <w:rFonts w:ascii="Times New Roman" w:hAnsi="Times New Roman" w:cs="Times New Roman"/>
          <w:sz w:val="28"/>
          <w:szCs w:val="28"/>
        </w:rPr>
        <w:t xml:space="preserve"> were the</w:t>
      </w:r>
      <w:r w:rsidR="006840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201666799"/>
      <w:r w:rsidR="0068408B" w:rsidRPr="0068408B">
        <w:rPr>
          <w:rFonts w:ascii="Times New Roman" w:hAnsi="Times New Roman" w:cs="Times New Roman"/>
          <w:sz w:val="28"/>
          <w:szCs w:val="28"/>
        </w:rPr>
        <w:t>United Kingdom</w:t>
      </w:r>
      <w:bookmarkEnd w:id="10"/>
      <w:r w:rsidR="0068408B">
        <w:rPr>
          <w:rFonts w:ascii="Times New Roman" w:hAnsi="Times New Roman" w:cs="Times New Roman"/>
          <w:sz w:val="28"/>
          <w:szCs w:val="28"/>
        </w:rPr>
        <w:t xml:space="preserve">, </w:t>
      </w:r>
      <w:r w:rsidRPr="007576E7">
        <w:rPr>
          <w:rFonts w:ascii="Times New Roman" w:hAnsi="Times New Roman" w:cs="Times New Roman"/>
          <w:sz w:val="28"/>
          <w:szCs w:val="28"/>
        </w:rPr>
        <w:t>United States of America</w:t>
      </w:r>
      <w:r w:rsidR="0068408B">
        <w:rPr>
          <w:rFonts w:ascii="Times New Roman" w:hAnsi="Times New Roman" w:cs="Times New Roman"/>
          <w:sz w:val="28"/>
          <w:szCs w:val="28"/>
        </w:rPr>
        <w:t xml:space="preserve"> </w:t>
      </w:r>
      <w:r w:rsidRPr="007576E7">
        <w:rPr>
          <w:rFonts w:ascii="Times New Roman" w:hAnsi="Times New Roman" w:cs="Times New Roman"/>
          <w:sz w:val="28"/>
          <w:szCs w:val="28"/>
        </w:rPr>
        <w:t>and</w:t>
      </w:r>
      <w:r w:rsidR="0068408B">
        <w:rPr>
          <w:rFonts w:ascii="Times New Roman" w:hAnsi="Times New Roman" w:cs="Times New Roman"/>
          <w:sz w:val="28"/>
          <w:szCs w:val="28"/>
        </w:rPr>
        <w:t xml:space="preserve"> </w:t>
      </w:r>
      <w:r w:rsidR="00C66377">
        <w:rPr>
          <w:rFonts w:ascii="Times New Roman" w:hAnsi="Times New Roman" w:cs="Times New Roman"/>
          <w:sz w:val="28"/>
          <w:szCs w:val="28"/>
        </w:rPr>
        <w:t>Kingdom of the</w:t>
      </w:r>
      <w:r w:rsidR="00C66377" w:rsidRPr="00CE617E">
        <w:rPr>
          <w:rFonts w:ascii="Times New Roman" w:hAnsi="Times New Roman" w:cs="Times New Roman"/>
          <w:sz w:val="28"/>
          <w:szCs w:val="28"/>
        </w:rPr>
        <w:t xml:space="preserve"> </w:t>
      </w:r>
      <w:r w:rsidR="00C66377">
        <w:rPr>
          <w:rFonts w:ascii="Times New Roman" w:hAnsi="Times New Roman" w:cs="Times New Roman"/>
          <w:sz w:val="28"/>
          <w:szCs w:val="28"/>
        </w:rPr>
        <w:t>Netherlands</w:t>
      </w:r>
      <w:r w:rsidRPr="00757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Exports to these destinations were as follows:</w:t>
      </w:r>
      <w:r w:rsidR="0068408B">
        <w:rPr>
          <w:rFonts w:ascii="Times New Roman" w:hAnsi="Times New Roman" w:cs="Times New Roman"/>
          <w:sz w:val="28"/>
          <w:szCs w:val="28"/>
        </w:rPr>
        <w:t xml:space="preserve"> </w:t>
      </w:r>
      <w:r w:rsidR="0068408B" w:rsidRPr="0068408B">
        <w:rPr>
          <w:rFonts w:ascii="Times New Roman" w:hAnsi="Times New Roman" w:cs="Times New Roman"/>
          <w:sz w:val="28"/>
          <w:szCs w:val="28"/>
        </w:rPr>
        <w:t>United Kingdom</w:t>
      </w:r>
      <w:r w:rsidR="0068408B">
        <w:rPr>
          <w:rFonts w:ascii="Times New Roman" w:hAnsi="Times New Roman" w:cs="Times New Roman"/>
          <w:sz w:val="28"/>
          <w:szCs w:val="28"/>
        </w:rPr>
        <w:t xml:space="preserve"> USD1,128</w:t>
      </w:r>
      <w:r w:rsidR="00C329AE">
        <w:rPr>
          <w:rFonts w:ascii="Times New Roman" w:hAnsi="Times New Roman" w:cs="Times New Roman"/>
          <w:sz w:val="28"/>
          <w:szCs w:val="28"/>
        </w:rPr>
        <w:t>.0</w:t>
      </w:r>
      <w:r w:rsidR="0068408B">
        <w:rPr>
          <w:rFonts w:ascii="Times New Roman" w:hAnsi="Times New Roman" w:cs="Times New Roman"/>
          <w:sz w:val="28"/>
          <w:szCs w:val="28"/>
        </w:rPr>
        <w:t xml:space="preserve"> million, </w:t>
      </w:r>
      <w:r w:rsidRPr="00CE617E">
        <w:rPr>
          <w:rFonts w:ascii="Times New Roman" w:hAnsi="Times New Roman" w:cs="Times New Roman"/>
          <w:sz w:val="28"/>
          <w:szCs w:val="28"/>
        </w:rPr>
        <w:t>United States of America</w:t>
      </w:r>
      <w:r>
        <w:rPr>
          <w:rFonts w:ascii="Times New Roman" w:hAnsi="Times New Roman" w:cs="Times New Roman"/>
          <w:sz w:val="28"/>
          <w:szCs w:val="28"/>
        </w:rPr>
        <w:t xml:space="preserve"> USD</w:t>
      </w:r>
      <w:r w:rsidR="0068408B">
        <w:rPr>
          <w:rFonts w:ascii="Times New Roman" w:hAnsi="Times New Roman" w:cs="Times New Roman"/>
          <w:sz w:val="28"/>
          <w:szCs w:val="28"/>
        </w:rPr>
        <w:t>956</w:t>
      </w:r>
      <w:r>
        <w:rPr>
          <w:rFonts w:ascii="Times New Roman" w:hAnsi="Times New Roman" w:cs="Times New Roman"/>
          <w:sz w:val="28"/>
          <w:szCs w:val="28"/>
        </w:rPr>
        <w:t>.3 million</w:t>
      </w:r>
      <w:r w:rsidRPr="00CE617E">
        <w:rPr>
          <w:rFonts w:ascii="Times New Roman" w:hAnsi="Times New Roman" w:cs="Times New Roman"/>
          <w:sz w:val="28"/>
          <w:szCs w:val="28"/>
        </w:rPr>
        <w:t>, and</w:t>
      </w:r>
      <w:r w:rsidR="00870134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201667567"/>
      <w:r w:rsidR="00870134">
        <w:rPr>
          <w:rFonts w:ascii="Times New Roman" w:hAnsi="Times New Roman" w:cs="Times New Roman"/>
          <w:sz w:val="28"/>
          <w:szCs w:val="28"/>
        </w:rPr>
        <w:t>Kingdom of the</w:t>
      </w:r>
      <w:r w:rsidRPr="00CE617E">
        <w:rPr>
          <w:rFonts w:ascii="Times New Roman" w:hAnsi="Times New Roman" w:cs="Times New Roman"/>
          <w:sz w:val="28"/>
          <w:szCs w:val="28"/>
        </w:rPr>
        <w:t xml:space="preserve"> </w:t>
      </w:r>
      <w:r w:rsidR="0068408B">
        <w:rPr>
          <w:rFonts w:ascii="Times New Roman" w:hAnsi="Times New Roman" w:cs="Times New Roman"/>
          <w:sz w:val="28"/>
          <w:szCs w:val="28"/>
        </w:rPr>
        <w:t>Netherlands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>
        <w:rPr>
          <w:rFonts w:ascii="Times New Roman" w:hAnsi="Times New Roman" w:cs="Times New Roman"/>
          <w:sz w:val="28"/>
          <w:szCs w:val="28"/>
        </w:rPr>
        <w:t>USD</w:t>
      </w:r>
      <w:r w:rsidR="00C329AE">
        <w:rPr>
          <w:rFonts w:ascii="Times New Roman" w:hAnsi="Times New Roman" w:cs="Times New Roman"/>
          <w:sz w:val="28"/>
          <w:szCs w:val="28"/>
        </w:rPr>
        <w:t>756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9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million.</w:t>
      </w:r>
    </w:p>
    <w:sectPr w:rsidR="00C56D94" w:rsidRPr="0068408B" w:rsidSect="00FF78B9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C066" w14:textId="77777777" w:rsidR="00240926" w:rsidRDefault="00240926" w:rsidP="005B44CB">
      <w:pPr>
        <w:spacing w:after="0" w:line="240" w:lineRule="auto"/>
      </w:pPr>
      <w:r>
        <w:separator/>
      </w:r>
    </w:p>
  </w:endnote>
  <w:endnote w:type="continuationSeparator" w:id="0">
    <w:p w14:paraId="20BA848E" w14:textId="77777777" w:rsidR="00240926" w:rsidRDefault="00240926" w:rsidP="005B44CB">
      <w:pPr>
        <w:spacing w:after="0" w:line="240" w:lineRule="auto"/>
      </w:pPr>
      <w:r>
        <w:continuationSeparator/>
      </w:r>
    </w:p>
  </w:endnote>
  <w:endnote w:id="1">
    <w:p w14:paraId="6C901A44" w14:textId="62E31EBA" w:rsidR="002D14A8" w:rsidRDefault="002D14A8">
      <w:pPr>
        <w:pStyle w:val="EndnoteText"/>
      </w:pPr>
      <w:r>
        <w:rPr>
          <w:rStyle w:val="EndnoteReference"/>
        </w:rPr>
        <w:endnoteRef/>
      </w:r>
      <w:r>
        <w:t xml:space="preserve"> All values for 202</w:t>
      </w:r>
      <w:r w:rsidR="0000077A">
        <w:t>4</w:t>
      </w:r>
      <w:r>
        <w:t xml:space="preserve"> are provisional and subject to revision.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EC3D" w14:textId="77777777" w:rsidR="00240926" w:rsidRDefault="00240926" w:rsidP="005B44CB">
      <w:pPr>
        <w:spacing w:after="0" w:line="240" w:lineRule="auto"/>
      </w:pPr>
      <w:r>
        <w:separator/>
      </w:r>
    </w:p>
  </w:footnote>
  <w:footnote w:type="continuationSeparator" w:id="0">
    <w:p w14:paraId="4AEE764B" w14:textId="77777777" w:rsidR="00240926" w:rsidRDefault="00240926" w:rsidP="005B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56"/>
    <w:rsid w:val="0000077A"/>
    <w:rsid w:val="00007C7F"/>
    <w:rsid w:val="00017BFD"/>
    <w:rsid w:val="00023B93"/>
    <w:rsid w:val="000745BF"/>
    <w:rsid w:val="00085D3E"/>
    <w:rsid w:val="00115994"/>
    <w:rsid w:val="00116DE2"/>
    <w:rsid w:val="00134A50"/>
    <w:rsid w:val="00134CCD"/>
    <w:rsid w:val="00142E4B"/>
    <w:rsid w:val="00144FE4"/>
    <w:rsid w:val="001475EA"/>
    <w:rsid w:val="001503FD"/>
    <w:rsid w:val="001823DB"/>
    <w:rsid w:val="00197A16"/>
    <w:rsid w:val="001A094B"/>
    <w:rsid w:val="00236EE9"/>
    <w:rsid w:val="00240926"/>
    <w:rsid w:val="0025549A"/>
    <w:rsid w:val="002629D0"/>
    <w:rsid w:val="0027702C"/>
    <w:rsid w:val="00285EB9"/>
    <w:rsid w:val="002B534A"/>
    <w:rsid w:val="002D14A8"/>
    <w:rsid w:val="002E72F2"/>
    <w:rsid w:val="00321AFE"/>
    <w:rsid w:val="003252BC"/>
    <w:rsid w:val="00344B79"/>
    <w:rsid w:val="003638F9"/>
    <w:rsid w:val="00377F8F"/>
    <w:rsid w:val="003B2F5A"/>
    <w:rsid w:val="003D0DFF"/>
    <w:rsid w:val="004042EA"/>
    <w:rsid w:val="004249EF"/>
    <w:rsid w:val="0043132D"/>
    <w:rsid w:val="004453A7"/>
    <w:rsid w:val="00461D17"/>
    <w:rsid w:val="004A6724"/>
    <w:rsid w:val="004D5A14"/>
    <w:rsid w:val="004D6D33"/>
    <w:rsid w:val="004E6A52"/>
    <w:rsid w:val="004F0BFE"/>
    <w:rsid w:val="005251FC"/>
    <w:rsid w:val="00573782"/>
    <w:rsid w:val="00597DCB"/>
    <w:rsid w:val="005B007E"/>
    <w:rsid w:val="005B44BD"/>
    <w:rsid w:val="005B44CB"/>
    <w:rsid w:val="005C7F7B"/>
    <w:rsid w:val="005D0123"/>
    <w:rsid w:val="005D6FAD"/>
    <w:rsid w:val="005F69E6"/>
    <w:rsid w:val="00602167"/>
    <w:rsid w:val="00650706"/>
    <w:rsid w:val="00677D82"/>
    <w:rsid w:val="0068408B"/>
    <w:rsid w:val="00686E9C"/>
    <w:rsid w:val="00691268"/>
    <w:rsid w:val="00724FB5"/>
    <w:rsid w:val="007304D9"/>
    <w:rsid w:val="007325D7"/>
    <w:rsid w:val="007576E7"/>
    <w:rsid w:val="007C6B81"/>
    <w:rsid w:val="007E563E"/>
    <w:rsid w:val="00802A67"/>
    <w:rsid w:val="00805AC7"/>
    <w:rsid w:val="00814BE8"/>
    <w:rsid w:val="00817FD2"/>
    <w:rsid w:val="00846924"/>
    <w:rsid w:val="008676CE"/>
    <w:rsid w:val="00870134"/>
    <w:rsid w:val="00881619"/>
    <w:rsid w:val="00892D79"/>
    <w:rsid w:val="00896E5B"/>
    <w:rsid w:val="008A0165"/>
    <w:rsid w:val="008C754A"/>
    <w:rsid w:val="008E105E"/>
    <w:rsid w:val="00914A09"/>
    <w:rsid w:val="009211A2"/>
    <w:rsid w:val="009329AE"/>
    <w:rsid w:val="00956D3A"/>
    <w:rsid w:val="00961B05"/>
    <w:rsid w:val="00964EE6"/>
    <w:rsid w:val="00984E4E"/>
    <w:rsid w:val="00997A73"/>
    <w:rsid w:val="009A19B6"/>
    <w:rsid w:val="009A322A"/>
    <w:rsid w:val="009A5568"/>
    <w:rsid w:val="009D1D9E"/>
    <w:rsid w:val="009E6A26"/>
    <w:rsid w:val="00A222B2"/>
    <w:rsid w:val="00A42BFB"/>
    <w:rsid w:val="00A44DAA"/>
    <w:rsid w:val="00A60192"/>
    <w:rsid w:val="00A76D1D"/>
    <w:rsid w:val="00A934DE"/>
    <w:rsid w:val="00A96D17"/>
    <w:rsid w:val="00AB0B0A"/>
    <w:rsid w:val="00AB317F"/>
    <w:rsid w:val="00AC2996"/>
    <w:rsid w:val="00AE675B"/>
    <w:rsid w:val="00AF690F"/>
    <w:rsid w:val="00B314CE"/>
    <w:rsid w:val="00B73976"/>
    <w:rsid w:val="00BD1454"/>
    <w:rsid w:val="00C07B69"/>
    <w:rsid w:val="00C212BC"/>
    <w:rsid w:val="00C329AE"/>
    <w:rsid w:val="00C35FA7"/>
    <w:rsid w:val="00C44919"/>
    <w:rsid w:val="00C56D94"/>
    <w:rsid w:val="00C63FBE"/>
    <w:rsid w:val="00C66377"/>
    <w:rsid w:val="00C71828"/>
    <w:rsid w:val="00C927D0"/>
    <w:rsid w:val="00CA4556"/>
    <w:rsid w:val="00CC4531"/>
    <w:rsid w:val="00CD7D89"/>
    <w:rsid w:val="00CE617E"/>
    <w:rsid w:val="00CF23CB"/>
    <w:rsid w:val="00CF512E"/>
    <w:rsid w:val="00D15332"/>
    <w:rsid w:val="00D344C6"/>
    <w:rsid w:val="00D34C26"/>
    <w:rsid w:val="00D45F8F"/>
    <w:rsid w:val="00D9627C"/>
    <w:rsid w:val="00DA48F7"/>
    <w:rsid w:val="00E13F9E"/>
    <w:rsid w:val="00E50EEA"/>
    <w:rsid w:val="00EB5028"/>
    <w:rsid w:val="00EC3EC7"/>
    <w:rsid w:val="00EC55B6"/>
    <w:rsid w:val="00ED2013"/>
    <w:rsid w:val="00EE216B"/>
    <w:rsid w:val="00EF3D1B"/>
    <w:rsid w:val="00F02E95"/>
    <w:rsid w:val="00F64FBD"/>
    <w:rsid w:val="00F84046"/>
    <w:rsid w:val="00F9652A"/>
    <w:rsid w:val="00FC1440"/>
    <w:rsid w:val="00FC64A7"/>
    <w:rsid w:val="00FE52D8"/>
    <w:rsid w:val="00FF127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293D"/>
  <w15:chartTrackingRefBased/>
  <w15:docId w15:val="{3EE68BAD-D0F8-4655-AAC9-1BF629E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44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44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44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8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8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8F9"/>
    <w:rPr>
      <w:vertAlign w:val="superscript"/>
    </w:rPr>
  </w:style>
  <w:style w:type="table" w:styleId="TableGrid">
    <w:name w:val="Table Grid"/>
    <w:basedOn w:val="TableNormal"/>
    <w:uiPriority w:val="39"/>
    <w:rsid w:val="0073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1C15-4367-4F58-86AB-5EB4E7DC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Vanetta Mentore</dc:creator>
  <cp:keywords/>
  <dc:description/>
  <cp:lastModifiedBy>Bilinda Lord</cp:lastModifiedBy>
  <cp:revision>2</cp:revision>
  <cp:lastPrinted>2023-05-29T20:16:00Z</cp:lastPrinted>
  <dcterms:created xsi:type="dcterms:W3CDTF">2025-06-25T18:44:00Z</dcterms:created>
  <dcterms:modified xsi:type="dcterms:W3CDTF">2025-06-25T18:44:00Z</dcterms:modified>
</cp:coreProperties>
</file>